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4E78" w14:textId="77777777" w:rsidR="00084DBE" w:rsidRDefault="00084DBE" w:rsidP="00E01CA8">
      <w:pPr>
        <w:spacing w:after="0" w:line="300" w:lineRule="exact"/>
        <w:jc w:val="both"/>
        <w:rPr>
          <w:rFonts w:ascii="Microsoft Tai Le" w:eastAsia="Bookman Old Style" w:hAnsi="Microsoft Tai Le" w:cs="Microsoft Tai Le"/>
          <w:b/>
        </w:rPr>
      </w:pPr>
    </w:p>
    <w:p w14:paraId="35C4E1AA" w14:textId="7983BD76" w:rsidR="002340B0" w:rsidRDefault="002340B0" w:rsidP="002340B0">
      <w:pPr>
        <w:spacing w:line="300" w:lineRule="exact"/>
        <w:jc w:val="both"/>
        <w:rPr>
          <w:rFonts w:ascii="Microsoft Tai Le" w:eastAsia="Bookman Old Style" w:hAnsi="Microsoft Tai Le" w:cs="Microsoft Tai Le"/>
          <w:b/>
        </w:rPr>
      </w:pPr>
      <w:r>
        <w:rPr>
          <w:rFonts w:ascii="Microsoft Tai Le" w:eastAsia="Bookman Old Style" w:hAnsi="Microsoft Tai Le" w:cs="Microsoft Tai Le"/>
          <w:b/>
        </w:rPr>
        <w:t>ILUSTRÍSSIMO</w:t>
      </w:r>
      <w:r>
        <w:rPr>
          <w:rFonts w:ascii="Microsoft Tai Le" w:eastAsia="Bookman Old Style" w:hAnsi="Microsoft Tai Le" w:cs="Microsoft Tai Le"/>
          <w:b/>
        </w:rPr>
        <w:t>(A)</w:t>
      </w:r>
      <w:r>
        <w:rPr>
          <w:rFonts w:ascii="Microsoft Tai Le" w:eastAsia="Bookman Old Style" w:hAnsi="Microsoft Tai Le" w:cs="Microsoft Tai Le"/>
          <w:b/>
        </w:rPr>
        <w:t xml:space="preserve"> SENHOR</w:t>
      </w:r>
      <w:r>
        <w:rPr>
          <w:rFonts w:ascii="Microsoft Tai Le" w:eastAsia="Bookman Old Style" w:hAnsi="Microsoft Tai Le" w:cs="Microsoft Tai Le"/>
          <w:b/>
        </w:rPr>
        <w:t>(A)</w:t>
      </w:r>
      <w:r>
        <w:rPr>
          <w:rFonts w:ascii="Microsoft Tai Le" w:eastAsia="Bookman Old Style" w:hAnsi="Microsoft Tai Le" w:cs="Microsoft Tai Le"/>
          <w:b/>
        </w:rPr>
        <w:t xml:space="preserve"> CHEFE DO SERVIÇO DE GESTÃO DE PESSOAS DA SUPERINTENDÊNCIA FEDERAL DO MINISTÉRIO DA AGRICULTURA NO RIO GRANDE DO SUL </w:t>
      </w:r>
    </w:p>
    <w:p w14:paraId="14A94859" w14:textId="77777777" w:rsidR="001834DD" w:rsidRPr="006A0EC5" w:rsidRDefault="001834DD" w:rsidP="00E01CA8">
      <w:pPr>
        <w:spacing w:after="0" w:line="300" w:lineRule="exact"/>
        <w:jc w:val="both"/>
        <w:rPr>
          <w:rFonts w:ascii="Microsoft Tai Le" w:eastAsia="Bookman Old Style" w:hAnsi="Microsoft Tai Le" w:cs="Microsoft Tai Le"/>
          <w:b/>
        </w:rPr>
      </w:pPr>
    </w:p>
    <w:tbl>
      <w:tblPr>
        <w:tblpPr w:leftFromText="141" w:rightFromText="141" w:vertAnchor="text" w:horzAnchor="margin" w:tblpXSpec="right" w:tblpY="84"/>
        <w:tblW w:w="6680" w:type="dxa"/>
        <w:shd w:val="clear" w:color="auto" w:fill="B1CFBD"/>
        <w:tblLook w:val="04A0" w:firstRow="1" w:lastRow="0" w:firstColumn="1" w:lastColumn="0" w:noHBand="0" w:noVBand="1"/>
      </w:tblPr>
      <w:tblGrid>
        <w:gridCol w:w="6680"/>
      </w:tblGrid>
      <w:tr w:rsidR="001834DD" w:rsidRPr="00EC1AFD" w14:paraId="093C85E3" w14:textId="77777777" w:rsidTr="001834DD">
        <w:trPr>
          <w:trHeight w:val="477"/>
        </w:trPr>
        <w:tc>
          <w:tcPr>
            <w:tcW w:w="6680" w:type="dxa"/>
            <w:shd w:val="clear" w:color="auto" w:fill="B1CFBD"/>
          </w:tcPr>
          <w:p w14:paraId="3D492EBC" w14:textId="77777777" w:rsidR="001834DD" w:rsidRDefault="001834DD" w:rsidP="001834DD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="34"/>
              <w:jc w:val="center"/>
              <w:rPr>
                <w:rFonts w:ascii="Microsoft Tai Le" w:hAnsi="Microsoft Tai Le" w:cs="Microsoft Tai Le"/>
                <w:b/>
                <w:bCs/>
              </w:rPr>
            </w:pPr>
            <w:bookmarkStart w:id="0" w:name="_Hlk32920689"/>
            <w:r>
              <w:rPr>
                <w:rFonts w:ascii="Microsoft Tai Le" w:hAnsi="Microsoft Tai Le" w:cs="Microsoft Tai Le"/>
                <w:b/>
                <w:bCs/>
              </w:rPr>
              <w:t xml:space="preserve">CONTAGEM E CONVERSÃO DE TEMPO ESPECIAL </w:t>
            </w:r>
          </w:p>
          <w:p w14:paraId="3B92C92D" w14:textId="77777777" w:rsidR="001834DD" w:rsidRPr="006B290C" w:rsidRDefault="001834DD" w:rsidP="001834DD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="34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Microsoft Tai Le" w:hAnsi="Microsoft Tai Le" w:cs="Microsoft Tai Le"/>
                <w:b/>
                <w:bCs/>
              </w:rPr>
              <w:t xml:space="preserve">TEMA 942 JULGADO PELO STF </w:t>
            </w:r>
          </w:p>
        </w:tc>
      </w:tr>
      <w:bookmarkEnd w:id="0"/>
    </w:tbl>
    <w:p w14:paraId="71E91454" w14:textId="77777777" w:rsidR="001834DD" w:rsidRPr="009E5073" w:rsidRDefault="001834DD">
      <w:pPr>
        <w:spacing w:after="0" w:line="320" w:lineRule="auto"/>
        <w:ind w:firstLine="1680"/>
        <w:jc w:val="both"/>
        <w:rPr>
          <w:rFonts w:ascii="Microsoft Tai Le" w:eastAsia="Verdana" w:hAnsi="Microsoft Tai Le" w:cs="Microsoft Tai 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3"/>
        <w:gridCol w:w="4369"/>
        <w:gridCol w:w="1532"/>
      </w:tblGrid>
      <w:tr w:rsidR="009A0AC3" w:rsidRPr="009E5073" w14:paraId="3EAF0EDF" w14:textId="77777777" w:rsidTr="008200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391" w14:textId="77777777" w:rsidR="009A0AC3" w:rsidRPr="009E5073" w:rsidRDefault="009A0AC3" w:rsidP="0082009B">
            <w:pPr>
              <w:rPr>
                <w:rFonts w:ascii="Microsoft Tai Le" w:hAnsi="Microsoft Tai Le" w:cs="Microsoft Tai Le"/>
                <w:b/>
              </w:rPr>
            </w:pPr>
            <w:r w:rsidRPr="009E5073">
              <w:rPr>
                <w:rFonts w:ascii="Microsoft Tai Le" w:hAnsi="Microsoft Tai Le" w:cs="Microsoft Tai Le"/>
              </w:rPr>
              <w:t xml:space="preserve">Nome completo: </w:t>
            </w:r>
            <w:r w:rsidRPr="009E5073">
              <w:rPr>
                <w:rFonts w:ascii="Microsoft Tai Le" w:hAnsi="Microsoft Tai Le" w:cs="Microsoft Tai Le"/>
                <w:b/>
              </w:rPr>
              <w:t xml:space="preserve"> </w:t>
            </w:r>
          </w:p>
          <w:p w14:paraId="2C045EA1" w14:textId="77777777" w:rsidR="009A0AC3" w:rsidRPr="009E5073" w:rsidRDefault="002511C0" w:rsidP="0082009B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 xml:space="preserve"> </w:t>
            </w:r>
          </w:p>
        </w:tc>
      </w:tr>
      <w:tr w:rsidR="009A0AC3" w:rsidRPr="009E5073" w14:paraId="693FADB8" w14:textId="77777777" w:rsidTr="0082009B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652" w14:textId="77777777" w:rsidR="009A0AC3" w:rsidRPr="009E5073" w:rsidRDefault="009A0AC3" w:rsidP="0082009B">
            <w:pPr>
              <w:rPr>
                <w:rFonts w:ascii="Microsoft Tai Le" w:hAnsi="Microsoft Tai Le" w:cs="Microsoft Tai Le"/>
              </w:rPr>
            </w:pPr>
            <w:proofErr w:type="gramStart"/>
            <w:r w:rsidRPr="009E5073">
              <w:rPr>
                <w:rFonts w:ascii="Microsoft Tai Le" w:hAnsi="Microsoft Tai Le" w:cs="Microsoft Tai Le"/>
              </w:rPr>
              <w:t>Matricula</w:t>
            </w:r>
            <w:proofErr w:type="gramEnd"/>
            <w:r w:rsidRPr="009E5073">
              <w:rPr>
                <w:rFonts w:ascii="Microsoft Tai Le" w:hAnsi="Microsoft Tai Le" w:cs="Microsoft Tai Le"/>
              </w:rPr>
              <w:t xml:space="preserve"> SIAPE: 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24E" w14:textId="77777777" w:rsidR="009A0AC3" w:rsidRPr="009E5073" w:rsidRDefault="009A0AC3" w:rsidP="0082009B">
            <w:pPr>
              <w:rPr>
                <w:rFonts w:ascii="Microsoft Tai Le" w:hAnsi="Microsoft Tai Le" w:cs="Microsoft Tai Le"/>
              </w:rPr>
            </w:pPr>
            <w:r w:rsidRPr="009E5073">
              <w:rPr>
                <w:rFonts w:ascii="Microsoft Tai Le" w:hAnsi="Microsoft Tai Le" w:cs="Microsoft Tai Le"/>
              </w:rPr>
              <w:t xml:space="preserve">E-mail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DFE" w14:textId="77777777" w:rsidR="009A0AC3" w:rsidRPr="009E5073" w:rsidRDefault="009A0AC3" w:rsidP="0082009B">
            <w:pPr>
              <w:rPr>
                <w:rFonts w:ascii="Microsoft Tai Le" w:hAnsi="Microsoft Tai Le" w:cs="Microsoft Tai Le"/>
              </w:rPr>
            </w:pPr>
            <w:r w:rsidRPr="009E5073">
              <w:rPr>
                <w:rFonts w:ascii="Microsoft Tai Le" w:hAnsi="Microsoft Tai Le" w:cs="Microsoft Tai Le"/>
              </w:rPr>
              <w:t xml:space="preserve">Telefone </w:t>
            </w:r>
          </w:p>
          <w:p w14:paraId="4F6B7A4D" w14:textId="77777777" w:rsidR="009A0AC3" w:rsidRPr="009E5073" w:rsidRDefault="009A0AC3" w:rsidP="0082009B">
            <w:pPr>
              <w:rPr>
                <w:rFonts w:ascii="Microsoft Tai Le" w:hAnsi="Microsoft Tai Le" w:cs="Microsoft Tai Le"/>
              </w:rPr>
            </w:pPr>
          </w:p>
        </w:tc>
      </w:tr>
    </w:tbl>
    <w:p w14:paraId="4AF84C34" w14:textId="77777777" w:rsidR="00736902" w:rsidRDefault="009A0AC3" w:rsidP="00AB54C2">
      <w:pPr>
        <w:spacing w:after="120" w:line="320" w:lineRule="exact"/>
        <w:ind w:firstLine="709"/>
        <w:jc w:val="both"/>
        <w:rPr>
          <w:rFonts w:ascii="Microsoft Tai Le" w:hAnsi="Microsoft Tai Le" w:cs="Microsoft Tai Le"/>
        </w:rPr>
      </w:pPr>
      <w:r w:rsidRPr="009E5073">
        <w:rPr>
          <w:rFonts w:ascii="Microsoft Tai Le" w:hAnsi="Microsoft Tai Le" w:cs="Microsoft Tai Le"/>
        </w:rPr>
        <w:t>A parte requerente trabalh</w:t>
      </w:r>
      <w:r w:rsidR="00E70164" w:rsidRPr="009E5073">
        <w:rPr>
          <w:rFonts w:ascii="Microsoft Tai Le" w:hAnsi="Microsoft Tai Le" w:cs="Microsoft Tai Le"/>
        </w:rPr>
        <w:t>a</w:t>
      </w:r>
      <w:r w:rsidRPr="009E5073">
        <w:rPr>
          <w:rFonts w:ascii="Microsoft Tai Le" w:hAnsi="Microsoft Tai Le" w:cs="Microsoft Tai Le"/>
        </w:rPr>
        <w:t xml:space="preserve"> em condições especiais</w:t>
      </w:r>
      <w:r w:rsidR="00E51A60" w:rsidRPr="009E5073">
        <w:rPr>
          <w:rFonts w:ascii="Microsoft Tai Le" w:hAnsi="Microsoft Tai Le" w:cs="Microsoft Tai Le"/>
        </w:rPr>
        <w:t xml:space="preserve">, submetida </w:t>
      </w:r>
      <w:r w:rsidR="00E70164" w:rsidRPr="009E5073">
        <w:rPr>
          <w:rFonts w:ascii="Microsoft Tai Le" w:hAnsi="Microsoft Tai Le" w:cs="Microsoft Tai Le"/>
        </w:rPr>
        <w:t xml:space="preserve">a agentes </w:t>
      </w:r>
      <w:r w:rsidR="0016254E">
        <w:rPr>
          <w:rFonts w:ascii="Microsoft Tai Le" w:hAnsi="Microsoft Tai Le" w:cs="Microsoft Tai Le"/>
        </w:rPr>
        <w:t xml:space="preserve">que prejudicam </w:t>
      </w:r>
      <w:r w:rsidR="00E70164" w:rsidRPr="009E5073">
        <w:rPr>
          <w:rFonts w:ascii="Microsoft Tai Le" w:hAnsi="Microsoft Tai Le" w:cs="Microsoft Tai Le"/>
        </w:rPr>
        <w:t>sua saúde,</w:t>
      </w:r>
      <w:r w:rsidRPr="009E5073">
        <w:rPr>
          <w:rFonts w:ascii="Microsoft Tai Le" w:hAnsi="Microsoft Tai Le" w:cs="Microsoft Tai Le"/>
        </w:rPr>
        <w:t xml:space="preserve"> desde __/___/__</w:t>
      </w:r>
      <w:r w:rsidR="00A049C4">
        <w:rPr>
          <w:rFonts w:ascii="Microsoft Tai Le" w:hAnsi="Microsoft Tai Le" w:cs="Microsoft Tai Le"/>
        </w:rPr>
        <w:t xml:space="preserve"> ou desde </w:t>
      </w:r>
      <w:r w:rsidR="00A049C4" w:rsidRPr="009E5073">
        <w:rPr>
          <w:rFonts w:ascii="Microsoft Tai Le" w:hAnsi="Microsoft Tai Le" w:cs="Microsoft Tai Le"/>
        </w:rPr>
        <w:t>seu ingresso no serviço público federal</w:t>
      </w:r>
      <w:r w:rsidR="00A049C4">
        <w:rPr>
          <w:rFonts w:ascii="Microsoft Tai Le" w:hAnsi="Microsoft Tai Le" w:cs="Microsoft Tai Le"/>
        </w:rPr>
        <w:t xml:space="preserve">, que se deu em </w:t>
      </w:r>
      <w:r w:rsidR="00A049C4" w:rsidRPr="009E5073">
        <w:rPr>
          <w:rFonts w:ascii="Microsoft Tai Le" w:hAnsi="Microsoft Tai Le" w:cs="Microsoft Tai Le"/>
        </w:rPr>
        <w:t>__/___/__</w:t>
      </w:r>
      <w:r w:rsidRPr="009E5073">
        <w:rPr>
          <w:rFonts w:ascii="Microsoft Tai Le" w:hAnsi="Microsoft Tai Le" w:cs="Microsoft Tai Le"/>
        </w:rPr>
        <w:t xml:space="preserve">. </w:t>
      </w:r>
    </w:p>
    <w:p w14:paraId="329030FF" w14:textId="6B7DD1CB" w:rsidR="00D2331D" w:rsidRPr="009E5073" w:rsidRDefault="00B1383F" w:rsidP="00AB54C2">
      <w:pPr>
        <w:spacing w:after="120" w:line="320" w:lineRule="exact"/>
        <w:ind w:firstLine="709"/>
        <w:jc w:val="both"/>
        <w:rPr>
          <w:rFonts w:ascii="Microsoft Tai Le" w:eastAsia="Bookman Old Style" w:hAnsi="Microsoft Tai Le" w:cs="Microsoft Tai Le"/>
        </w:rPr>
      </w:pPr>
      <w:r w:rsidRPr="001834DD">
        <w:rPr>
          <w:rFonts w:ascii="Microsoft Tai Le" w:eastAsia="Bookman Old Style" w:hAnsi="Microsoft Tai Le" w:cs="Microsoft Tai Le"/>
          <w:b/>
          <w:bCs/>
        </w:rPr>
        <w:t>CONSIDERANDO</w:t>
      </w:r>
      <w:r w:rsidR="00736902">
        <w:rPr>
          <w:rFonts w:ascii="Microsoft Tai Le" w:eastAsia="Bookman Old Style" w:hAnsi="Microsoft Tai Le" w:cs="Microsoft Tai Le"/>
        </w:rPr>
        <w:t xml:space="preserve"> a decisão do Supremo Tribunal Federal, em sede de Repercussão Geral, </w:t>
      </w:r>
      <w:r w:rsidR="009A0AC3" w:rsidRPr="009E5073">
        <w:rPr>
          <w:rFonts w:ascii="Microsoft Tai Le" w:eastAsia="Bookman Old Style" w:hAnsi="Microsoft Tai Le" w:cs="Microsoft Tai Le"/>
        </w:rPr>
        <w:t xml:space="preserve">no Recurso Extraordinário n. </w:t>
      </w:r>
      <w:r w:rsidR="002F093F" w:rsidRPr="009E5073">
        <w:rPr>
          <w:rFonts w:ascii="Microsoft Tai Le" w:eastAsia="Bookman Old Style" w:hAnsi="Microsoft Tai Le" w:cs="Microsoft Tai Le"/>
        </w:rPr>
        <w:t>1014286</w:t>
      </w:r>
      <w:r w:rsidR="00210924" w:rsidRPr="009E5073">
        <w:rPr>
          <w:rFonts w:ascii="Microsoft Tai Le" w:eastAsia="Bookman Old Style" w:hAnsi="Microsoft Tai Le" w:cs="Microsoft Tai Le"/>
        </w:rPr>
        <w:t>,</w:t>
      </w:r>
      <w:r w:rsidR="00D449F6" w:rsidRPr="009E5073">
        <w:rPr>
          <w:rFonts w:ascii="Microsoft Tai Le" w:eastAsia="Bookman Old Style" w:hAnsi="Microsoft Tai Le" w:cs="Microsoft Tai Le"/>
        </w:rPr>
        <w:t xml:space="preserve"> que</w:t>
      </w:r>
      <w:r w:rsidR="00D2331D" w:rsidRPr="009E5073">
        <w:rPr>
          <w:rFonts w:ascii="Microsoft Tai Le" w:eastAsia="Bookman Old Style" w:hAnsi="Microsoft Tai Le" w:cs="Microsoft Tai Le"/>
        </w:rPr>
        <w:t xml:space="preserve"> </w:t>
      </w:r>
      <w:r w:rsidR="00D2331D" w:rsidRPr="009E5073">
        <w:rPr>
          <w:rFonts w:ascii="Microsoft Tai Le" w:eastAsia="Bookman Old Style" w:hAnsi="Microsoft Tai Le" w:cs="Microsoft Tai Le"/>
          <w:b/>
          <w:bCs/>
        </w:rPr>
        <w:t xml:space="preserve">permite a conversão do tempo trabalhado em condições </w:t>
      </w:r>
      <w:r w:rsidR="009E5073">
        <w:rPr>
          <w:rFonts w:ascii="Microsoft Tai Le" w:eastAsia="Bookman Old Style" w:hAnsi="Microsoft Tai Le" w:cs="Microsoft Tai Le"/>
          <w:b/>
          <w:bCs/>
        </w:rPr>
        <w:t>especiais (insalubres, perigosas) em tempo comum</w:t>
      </w:r>
      <w:r w:rsidR="00736902">
        <w:rPr>
          <w:rFonts w:ascii="Microsoft Tai Le" w:eastAsia="Bookman Old Style" w:hAnsi="Microsoft Tai Le" w:cs="Microsoft Tai Le"/>
          <w:b/>
          <w:bCs/>
        </w:rPr>
        <w:t xml:space="preserve">, </w:t>
      </w:r>
      <w:r w:rsidR="00EC216E">
        <w:rPr>
          <w:rFonts w:ascii="Microsoft Tai Le" w:eastAsia="Bookman Old Style" w:hAnsi="Microsoft Tai Le" w:cs="Microsoft Tai Le"/>
          <w:b/>
          <w:bCs/>
        </w:rPr>
        <w:t>nos termos do trecho da decisão abaixo</w:t>
      </w:r>
      <w:r w:rsidR="002F093F" w:rsidRPr="009E5073">
        <w:rPr>
          <w:rFonts w:ascii="Microsoft Tai Le" w:eastAsia="Bookman Old Style" w:hAnsi="Microsoft Tai Le" w:cs="Microsoft Tai Le"/>
        </w:rPr>
        <w:t>:</w:t>
      </w:r>
    </w:p>
    <w:p w14:paraId="60B472C3" w14:textId="77777777" w:rsidR="002F093F" w:rsidRPr="00AB54C2" w:rsidRDefault="002F093F" w:rsidP="0016254E">
      <w:pPr>
        <w:spacing w:after="0" w:line="240" w:lineRule="auto"/>
        <w:ind w:left="708" w:firstLine="708"/>
        <w:jc w:val="both"/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</w:pPr>
      <w:r w:rsidRPr="00AB54C2"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  <w:t>Recurso Extraordinário n. 1014286</w:t>
      </w:r>
    </w:p>
    <w:p w14:paraId="05A391AA" w14:textId="77777777" w:rsidR="002F093F" w:rsidRPr="00AB54C2" w:rsidRDefault="002F093F" w:rsidP="0016254E">
      <w:pPr>
        <w:spacing w:after="0" w:line="240" w:lineRule="auto"/>
        <w:ind w:left="1416"/>
        <w:jc w:val="both"/>
        <w:rPr>
          <w:rFonts w:ascii="Calibri Light" w:hAnsi="Calibri Light" w:cs="Microsoft Tai Le"/>
          <w:sz w:val="20"/>
          <w:szCs w:val="20"/>
        </w:rPr>
      </w:pPr>
      <w:r w:rsidRPr="00AB54C2"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  <w:t>Decisão: O Tribunal, por maioria, apreciando o tema 942 da repercussão geral, negou provimento ao recurso extraordinário, nos termos do voto do Ministro Edson Fachin, Redator para o acórdão, vencido o Ministro Luiz Fux (Relator), que dava provimento ao recurso. Foi fixada a seguinte tese: "</w:t>
      </w:r>
      <w:r w:rsidRPr="00AB54C2"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  <w:t>Até a edição da Emenda Constitucional nº 103/2019, o direito à conversão, em tempo comum, do prestado sob condições especiais que prejudiquem a saúde ou a integridade física de servidor público decorre da previsão de adoção de requisitos e critérios diferenciados para a jubilação daquele enquadrado na hipótese prevista no então vigente inciso III do § 4º do art. 40 da Constituição da República, devendo ser aplicadas as normas do regime geral de previdência social relativas à aposentadoria especial contidas na Lei 8.213/1991 para viabilizar sua concretização enquanto não sobrevier lei complementar disciplinadora da matéria.</w:t>
      </w:r>
      <w:r w:rsidRPr="00AB54C2"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  <w:t xml:space="preserve"> Após a vigência da EC n.º 103/2019, o direito à conversão em tempo comum, do prestado sob condições especiais pelos servidores obedecerá à legislação complementar dos entes federados, nos termos da competência conferida pelo art. 40, § 4º-C, da Constituição da República". Os Ministros Alexandre de Moraes, Marco Aurélio, Ricardo Lewandowski e Roberto Barroso, fixavam tese diversa. Não participou deste julgamento, por motivo de licença médica, o Ministro Celso de Mello. Plenário, Sessão Virtual de </w:t>
      </w:r>
      <w:r w:rsidRPr="00AB54C2">
        <w:rPr>
          <w:rFonts w:ascii="Calibri Light" w:hAnsi="Calibri Light" w:cs="Microsoft Tai Le"/>
          <w:sz w:val="20"/>
          <w:szCs w:val="20"/>
        </w:rPr>
        <w:t>21.8.2020 a 28.8.2020.  </w:t>
      </w:r>
    </w:p>
    <w:p w14:paraId="10372E81" w14:textId="21DD65B1" w:rsidR="004D45EC" w:rsidRDefault="00084DBE" w:rsidP="004D45EC">
      <w:pPr>
        <w:pStyle w:val="Default"/>
        <w:spacing w:after="120" w:line="320" w:lineRule="exact"/>
        <w:ind w:firstLine="709"/>
        <w:jc w:val="both"/>
        <w:rPr>
          <w:sz w:val="20"/>
          <w:szCs w:val="20"/>
        </w:rPr>
      </w:pPr>
      <w:r w:rsidRPr="00084DBE">
        <w:rPr>
          <w:rFonts w:ascii="Microsoft Tai Le" w:eastAsia="Bookman Old Style" w:hAnsi="Microsoft Tai Le" w:cs="Microsoft Tai Le"/>
          <w:b/>
          <w:bCs/>
        </w:rPr>
        <w:t>CONSIDERANDO</w:t>
      </w:r>
      <w:r w:rsidRPr="00084DBE">
        <w:rPr>
          <w:rFonts w:ascii="Microsoft Tai Le" w:eastAsia="Bookman Old Style" w:hAnsi="Microsoft Tai Le" w:cs="Microsoft Tai Le"/>
          <w:sz w:val="22"/>
          <w:szCs w:val="22"/>
        </w:rPr>
        <w:t xml:space="preserve"> </w:t>
      </w:r>
      <w:r w:rsidRPr="004D45EC">
        <w:rPr>
          <w:rFonts w:ascii="Microsoft Tai Le" w:eastAsia="Bookman Old Style" w:hAnsi="Microsoft Tai Le" w:cs="Microsoft Tai Le"/>
          <w:color w:val="auto"/>
          <w:sz w:val="22"/>
          <w:szCs w:val="22"/>
        </w:rPr>
        <w:t>a recente Nota Técnica SEI nº 792/2021/SRPPS/SPREV/SEPRT/ME, de 21/01/2021, da Subsecretaria dos Regimes Próprios de Previdência Social - SRPPS/SPREV (12908723), aprovad</w:t>
      </w:r>
      <w:r w:rsidR="00EB4FDF">
        <w:rPr>
          <w:rFonts w:ascii="Microsoft Tai Le" w:eastAsia="Bookman Old Style" w:hAnsi="Microsoft Tai Le" w:cs="Microsoft Tai Le"/>
          <w:color w:val="auto"/>
          <w:sz w:val="22"/>
          <w:szCs w:val="22"/>
        </w:rPr>
        <w:t>a</w:t>
      </w:r>
      <w:r w:rsidRPr="004D45EC">
        <w:rPr>
          <w:rFonts w:ascii="Microsoft Tai Le" w:eastAsia="Bookman Old Style" w:hAnsi="Microsoft Tai Le" w:cs="Microsoft Tai Le"/>
          <w:color w:val="auto"/>
          <w:sz w:val="22"/>
          <w:szCs w:val="22"/>
        </w:rPr>
        <w:t xml:space="preserve"> pela Secretaria de Previdência, que orienta os Regimes Próprios de Previdência Social</w:t>
      </w:r>
      <w:r w:rsidR="00074448">
        <w:rPr>
          <w:rFonts w:ascii="Microsoft Tai Le" w:eastAsia="Bookman Old Style" w:hAnsi="Microsoft Tai Le" w:cs="Microsoft Tai Le"/>
          <w:color w:val="auto"/>
          <w:sz w:val="22"/>
          <w:szCs w:val="22"/>
        </w:rPr>
        <w:t xml:space="preserve"> na conversão do tempo especial</w:t>
      </w:r>
      <w:r w:rsidR="004D45EC">
        <w:rPr>
          <w:sz w:val="20"/>
          <w:szCs w:val="20"/>
        </w:rPr>
        <w:t>:</w:t>
      </w:r>
    </w:p>
    <w:p w14:paraId="01EB0780" w14:textId="308B7884" w:rsidR="004D45EC" w:rsidRDefault="004D45EC" w:rsidP="004D45EC">
      <w:pPr>
        <w:pStyle w:val="Default"/>
        <w:jc w:val="both"/>
        <w:rPr>
          <w:sz w:val="20"/>
          <w:szCs w:val="20"/>
        </w:rPr>
      </w:pPr>
    </w:p>
    <w:p w14:paraId="719B3093" w14:textId="69A37953" w:rsidR="004D45EC" w:rsidRDefault="004D45EC" w:rsidP="004D45EC">
      <w:pPr>
        <w:pStyle w:val="Default"/>
        <w:jc w:val="both"/>
        <w:rPr>
          <w:sz w:val="20"/>
          <w:szCs w:val="20"/>
        </w:rPr>
      </w:pPr>
    </w:p>
    <w:p w14:paraId="019453EC" w14:textId="77777777" w:rsidR="00B129AE" w:rsidRDefault="00B129AE" w:rsidP="00B129AE">
      <w:pPr>
        <w:pStyle w:val="Default"/>
        <w:ind w:left="1418"/>
        <w:jc w:val="both"/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</w:pPr>
      <w:r w:rsidRPr="00B129AE"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  <w:t>V - A tese fixada pelo Plenário do Supremo Tribunal Federal no RE nº 1014286 permite que a conversão de tempo especial em tempo comum seja observada pelo RGPS e pelos RPPS para o tempo cumprido até 13/11/2019</w:t>
      </w:r>
      <w:r w:rsidRPr="00B129AE"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  <w:t>, pois:</w:t>
      </w:r>
      <w:r w:rsidRPr="00B129AE"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  <w:t xml:space="preserve"> </w:t>
      </w:r>
    </w:p>
    <w:p w14:paraId="47FB963E" w14:textId="77777777" w:rsidR="00B129AE" w:rsidRPr="00B129AE" w:rsidRDefault="00B129AE" w:rsidP="00B129AE">
      <w:pPr>
        <w:pStyle w:val="Default"/>
        <w:ind w:left="1985"/>
        <w:jc w:val="both"/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</w:pPr>
      <w:r w:rsidRPr="00B129AE"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  <w:t xml:space="preserve">V.1 - se trata de um precedente relevante da Corte Maior, cuja orientação firmada é persuasiva para os demais órgãos do Poder Judiciário, não obstante tenha sido adotada em controle difuso de constitucionalidade; </w:t>
      </w:r>
    </w:p>
    <w:p w14:paraId="65FCFFFE" w14:textId="77777777" w:rsidR="00B129AE" w:rsidRPr="00B129AE" w:rsidRDefault="00B129AE" w:rsidP="00B129AE">
      <w:pPr>
        <w:pStyle w:val="Default"/>
        <w:ind w:left="1985"/>
        <w:jc w:val="both"/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</w:pPr>
      <w:r w:rsidRPr="00B129AE"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  <w:t xml:space="preserve">V.2 - ampliou, em substância, o alcance da Súmula Vinculante nº 33 do STF, pois ficou decidido que, na hipótese prevista no inciso III do § 4º do art. 40 da Constituição (na redação anterior à EC nº 103/2019), o direito à conversão, em tempo comum, do prestado sob condições especiais prejudiciais à saúde ou à integridade física, decorre da isonomia na proteção dos trabalhadores expostos a agentes nocivos. </w:t>
      </w:r>
    </w:p>
    <w:p w14:paraId="28CE9C3A" w14:textId="77777777" w:rsidR="00B129AE" w:rsidRPr="00B129AE" w:rsidRDefault="00B129AE" w:rsidP="00B129AE">
      <w:pPr>
        <w:pStyle w:val="Default"/>
        <w:ind w:left="1985"/>
        <w:jc w:val="both"/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</w:pPr>
      <w:r w:rsidRPr="00B129AE"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  <w:t xml:space="preserve">V.3 - o STF reinterpretou a Súmula Vinculante nº 33, a seguir, já que a aplicação analógica das regras de aposentadoria especial do RGPS ao servidor público, “no que couber”, passou a incluir necessariamente a possibilidade de conversão de tempo especial em tempo comum, cumprido até 13/11/2019: Aplicam-se ao servidor público, no que couber, as regras do regime geral da previdência social sobre aposentadoria especial de que trata o artigo 40, § 4º, inciso III da Constituição Federal, até a edição de lei complementar específica. </w:t>
      </w:r>
    </w:p>
    <w:p w14:paraId="3F726428" w14:textId="56A77F6C" w:rsidR="004D45EC" w:rsidRPr="00B129AE" w:rsidRDefault="00B129AE" w:rsidP="00B129AE">
      <w:pPr>
        <w:pStyle w:val="Default"/>
        <w:ind w:left="1418"/>
        <w:jc w:val="both"/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</w:pPr>
      <w:r w:rsidRPr="00B129AE"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  <w:t>VI - Para a efetivação do direito à conversão de tempo especial em tempo comum</w:t>
      </w:r>
      <w:r w:rsidRPr="00B129AE"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  <w:t xml:space="preserve">, nos termos da EC nº 103/2019 e </w:t>
      </w:r>
      <w:r w:rsidRPr="00B129AE"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  <w:t xml:space="preserve">na forma da tese do STF para o Tema 942 de sua Repercussão Geral, devem ser aplicados, </w:t>
      </w:r>
      <w:r w:rsidRPr="00B129AE"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  <w:t xml:space="preserve">na conversão do tempo especial em comum exercido até 13 de novembro de 2019, </w:t>
      </w:r>
      <w:r w:rsidRPr="00B129AE"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  <w:t>os fatores de conversão previstos no então vigente art. 70 do Regulamento da Previdência Social, aprovado pelo Decreto nº 3.048, de 06/05/1999, reproduzida no § 5º do art. 188-P do mesmo Regulamento, na redação dada pelo Decreto nº 10.410, de 30/06/2020</w:t>
      </w:r>
      <w:r>
        <w:rPr>
          <w:rFonts w:ascii="Calibri Light" w:hAnsi="Calibri Light" w:cs="Microsoft Tai Le"/>
          <w:b/>
          <w:bCs/>
          <w:color w:val="385260"/>
          <w:sz w:val="20"/>
          <w:szCs w:val="20"/>
          <w:shd w:val="clear" w:color="auto" w:fill="FFFFFF"/>
        </w:rPr>
        <w:t xml:space="preserve"> (...)</w:t>
      </w:r>
    </w:p>
    <w:p w14:paraId="557B77E8" w14:textId="77777777" w:rsidR="004D45EC" w:rsidRDefault="004D45EC" w:rsidP="004D45EC">
      <w:pPr>
        <w:spacing w:after="120" w:line="320" w:lineRule="exact"/>
        <w:ind w:firstLine="709"/>
        <w:jc w:val="both"/>
        <w:rPr>
          <w:rFonts w:ascii="Microsoft Tai Le" w:eastAsia="Bookman Old Style" w:hAnsi="Microsoft Tai Le" w:cs="Microsoft Tai Le"/>
          <w:b/>
          <w:bCs/>
        </w:rPr>
      </w:pPr>
    </w:p>
    <w:p w14:paraId="6F17CCAB" w14:textId="46480F30" w:rsidR="00B1383F" w:rsidRDefault="00B1383F" w:rsidP="004D45EC">
      <w:pPr>
        <w:spacing w:after="120" w:line="320" w:lineRule="exact"/>
        <w:ind w:firstLine="709"/>
        <w:jc w:val="both"/>
        <w:rPr>
          <w:rFonts w:ascii="Microsoft Tai Le" w:eastAsia="Bookman Old Style" w:hAnsi="Microsoft Tai Le" w:cs="Microsoft Tai Le"/>
        </w:rPr>
      </w:pPr>
      <w:r w:rsidRPr="001834DD">
        <w:rPr>
          <w:rFonts w:ascii="Microsoft Tai Le" w:eastAsia="Bookman Old Style" w:hAnsi="Microsoft Tai Le" w:cs="Microsoft Tai Le"/>
          <w:b/>
          <w:bCs/>
        </w:rPr>
        <w:t>CONSIDERANDO</w:t>
      </w:r>
      <w:r>
        <w:rPr>
          <w:rFonts w:ascii="Microsoft Tai Le" w:eastAsia="Bookman Old Style" w:hAnsi="Microsoft Tai Le" w:cs="Microsoft Tai Le"/>
        </w:rPr>
        <w:t xml:space="preserve"> que a conversão </w:t>
      </w:r>
      <w:r w:rsidR="00EC216E">
        <w:rPr>
          <w:rFonts w:ascii="Microsoft Tai Le" w:eastAsia="Bookman Old Style" w:hAnsi="Microsoft Tai Le" w:cs="Microsoft Tai Le"/>
        </w:rPr>
        <w:t xml:space="preserve">do tempo especial em comum </w:t>
      </w:r>
      <w:r>
        <w:rPr>
          <w:rFonts w:ascii="Microsoft Tai Le" w:eastAsia="Bookman Old Style" w:hAnsi="Microsoft Tai Le" w:cs="Microsoft Tai Le"/>
        </w:rPr>
        <w:t xml:space="preserve">tem efeitos práticos, como </w:t>
      </w:r>
      <w:r w:rsidR="00EC216E">
        <w:rPr>
          <w:rFonts w:ascii="Microsoft Tai Le" w:eastAsia="Bookman Old Style" w:hAnsi="Microsoft Tai Le" w:cs="Microsoft Tai Le"/>
        </w:rPr>
        <w:t xml:space="preserve">a antecipação da data de cumprimento de requisitos para aposentadoria, revisão de aposentadoria já concedida, benefícios como a concessão e revisão do abono de permanência, </w:t>
      </w:r>
      <w:proofErr w:type="spellStart"/>
      <w:r w:rsidR="00EC216E">
        <w:rPr>
          <w:rFonts w:ascii="Microsoft Tai Le" w:eastAsia="Bookman Old Style" w:hAnsi="Microsoft Tai Le" w:cs="Microsoft Tai Le"/>
        </w:rPr>
        <w:t>desaverbação</w:t>
      </w:r>
      <w:proofErr w:type="spellEnd"/>
      <w:r w:rsidR="00EC216E">
        <w:rPr>
          <w:rFonts w:ascii="Microsoft Tai Le" w:eastAsia="Bookman Old Style" w:hAnsi="Microsoft Tai Le" w:cs="Microsoft Tai Le"/>
        </w:rPr>
        <w:t xml:space="preserve"> de licenças-prêmio, pagamento de vantagens, como a do art. 192 da Lei nº 8.112/90, entre outros;</w:t>
      </w:r>
    </w:p>
    <w:p w14:paraId="7F13B8E0" w14:textId="77777777" w:rsidR="00EC216E" w:rsidRDefault="00EC216E" w:rsidP="00AB54C2">
      <w:pPr>
        <w:spacing w:after="120" w:line="320" w:lineRule="exact"/>
        <w:ind w:firstLine="708"/>
        <w:jc w:val="both"/>
        <w:rPr>
          <w:rFonts w:ascii="Microsoft Tai Le" w:eastAsia="Bookman Old Style" w:hAnsi="Microsoft Tai Le" w:cs="Microsoft Tai Le"/>
        </w:rPr>
      </w:pPr>
      <w:r w:rsidRPr="001834DD">
        <w:rPr>
          <w:rFonts w:ascii="Microsoft Tai Le" w:eastAsia="Bookman Old Style" w:hAnsi="Microsoft Tai Le" w:cs="Microsoft Tai Le"/>
          <w:b/>
          <w:bCs/>
        </w:rPr>
        <w:t xml:space="preserve">Requer seja apurado </w:t>
      </w:r>
      <w:r w:rsidRPr="001834DD">
        <w:rPr>
          <w:rFonts w:ascii="Microsoft Tai Le" w:hAnsi="Microsoft Tai Le" w:cs="Microsoft Tai Le"/>
          <w:b/>
          <w:bCs/>
        </w:rPr>
        <w:t xml:space="preserve">seu tempo de contribuição com a conversão do tempo insalubre/com exposição ao </w:t>
      </w:r>
      <w:proofErr w:type="spellStart"/>
      <w:r w:rsidRPr="001834DD">
        <w:rPr>
          <w:rFonts w:ascii="Microsoft Tai Le" w:hAnsi="Microsoft Tai Le" w:cs="Microsoft Tai Le"/>
          <w:b/>
          <w:bCs/>
        </w:rPr>
        <w:t>raio-x</w:t>
      </w:r>
      <w:proofErr w:type="spellEnd"/>
      <w:r w:rsidRPr="001834DD">
        <w:rPr>
          <w:rFonts w:ascii="Microsoft Tai Le" w:eastAsia="Bookman Old Style" w:hAnsi="Microsoft Tai Le" w:cs="Microsoft Tai Le"/>
          <w:b/>
          <w:bCs/>
        </w:rPr>
        <w:t>.</w:t>
      </w:r>
      <w:r w:rsidRPr="009E5073">
        <w:rPr>
          <w:rFonts w:ascii="Microsoft Tai Le" w:eastAsia="Bookman Old Style" w:hAnsi="Microsoft Tai Le" w:cs="Microsoft Tai Le"/>
        </w:rPr>
        <w:t xml:space="preserve"> </w:t>
      </w:r>
    </w:p>
    <w:p w14:paraId="32A853D9" w14:textId="77777777" w:rsidR="00D449F6" w:rsidRPr="009E5073" w:rsidRDefault="00D449F6" w:rsidP="00AB54C2">
      <w:pPr>
        <w:spacing w:after="120" w:line="320" w:lineRule="exact"/>
        <w:ind w:firstLine="708"/>
        <w:jc w:val="both"/>
        <w:rPr>
          <w:rFonts w:ascii="Microsoft Tai Le" w:eastAsia="Bookman Old Style" w:hAnsi="Microsoft Tai Le" w:cs="Microsoft Tai Le"/>
        </w:rPr>
      </w:pPr>
      <w:r w:rsidRPr="009E5073">
        <w:rPr>
          <w:rFonts w:ascii="Microsoft Tai Le" w:eastAsia="Bookman Old Style" w:hAnsi="Microsoft Tai Le" w:cs="Microsoft Tai Le"/>
        </w:rPr>
        <w:t xml:space="preserve">Com a decisão </w:t>
      </w:r>
      <w:r w:rsidR="00B939A1">
        <w:rPr>
          <w:rFonts w:ascii="Microsoft Tai Le" w:eastAsia="Bookman Old Style" w:hAnsi="Microsoft Tai Le" w:cs="Microsoft Tai Le"/>
        </w:rPr>
        <w:t>proferida pelo</w:t>
      </w:r>
      <w:r w:rsidRPr="009E5073">
        <w:rPr>
          <w:rFonts w:ascii="Microsoft Tai Le" w:eastAsia="Bookman Old Style" w:hAnsi="Microsoft Tai Le" w:cs="Microsoft Tai Le"/>
        </w:rPr>
        <w:t xml:space="preserve"> STF, não há mais dúvidas acerca do direito dos servidores públicos à conversão do tempo em condições nocivas à saúde em tempo comum. O </w:t>
      </w:r>
      <w:r w:rsidRPr="009E5073">
        <w:rPr>
          <w:rFonts w:ascii="Microsoft Tai Le" w:eastAsia="Bookman Old Style" w:hAnsi="Microsoft Tai Le" w:cs="Microsoft Tai Le"/>
          <w:b/>
          <w:bCs/>
        </w:rPr>
        <w:t>Supremo veio concretizar o direito</w:t>
      </w:r>
      <w:r w:rsidRPr="009E5073">
        <w:rPr>
          <w:rFonts w:ascii="Microsoft Tai Le" w:eastAsia="Bookman Old Style" w:hAnsi="Microsoft Tai Le" w:cs="Microsoft Tai Le"/>
        </w:rPr>
        <w:t xml:space="preserve"> </w:t>
      </w:r>
      <w:r w:rsidRPr="009E5073">
        <w:rPr>
          <w:rFonts w:ascii="Microsoft Tai Le" w:eastAsia="Bookman Old Style" w:hAnsi="Microsoft Tai Le" w:cs="Microsoft Tai Le"/>
          <w:b/>
          <w:bCs/>
        </w:rPr>
        <w:t>consagrado no art. 40, §4º, inciso III, da Constituição Federal</w:t>
      </w:r>
      <w:r w:rsidRPr="009E5073">
        <w:rPr>
          <w:rFonts w:ascii="Microsoft Tai Le" w:eastAsia="Bookman Old Style" w:hAnsi="Microsoft Tai Le" w:cs="Microsoft Tai Le"/>
        </w:rPr>
        <w:t xml:space="preserve"> que admite a adoção de requisitos e critérios diferenciados para aposentadoria daquele</w:t>
      </w:r>
      <w:r w:rsidR="009E5073">
        <w:rPr>
          <w:rFonts w:ascii="Microsoft Tai Le" w:eastAsia="Bookman Old Style" w:hAnsi="Microsoft Tai Le" w:cs="Microsoft Tai Le"/>
        </w:rPr>
        <w:t xml:space="preserve">s que exercem atividades em condições especiais que prejudiquem sua saúde. </w:t>
      </w:r>
    </w:p>
    <w:p w14:paraId="7EA58A03" w14:textId="77777777" w:rsidR="00D449F6" w:rsidRPr="009E5073" w:rsidRDefault="00D449F6" w:rsidP="00AB54C2">
      <w:pPr>
        <w:spacing w:after="120" w:line="320" w:lineRule="exact"/>
        <w:ind w:firstLine="709"/>
        <w:jc w:val="both"/>
        <w:rPr>
          <w:rFonts w:ascii="Microsoft Tai Le" w:hAnsi="Microsoft Tai Le" w:cs="Microsoft Tai Le"/>
        </w:rPr>
      </w:pPr>
      <w:r w:rsidRPr="009E5073">
        <w:rPr>
          <w:rFonts w:ascii="Microsoft Tai Le" w:hAnsi="Microsoft Tai Le" w:cs="Microsoft Tai Le"/>
        </w:rPr>
        <w:t>Em outras palavras, o que fez o Supremo Tribunal Federal</w:t>
      </w:r>
      <w:r w:rsidR="009E5073">
        <w:rPr>
          <w:rFonts w:ascii="Microsoft Tai Le" w:hAnsi="Microsoft Tai Le" w:cs="Microsoft Tai Le"/>
        </w:rPr>
        <w:t>,</w:t>
      </w:r>
      <w:r w:rsidRPr="009E5073">
        <w:rPr>
          <w:rFonts w:ascii="Microsoft Tai Le" w:hAnsi="Microsoft Tai Le" w:cs="Microsoft Tai Le"/>
        </w:rPr>
        <w:t xml:space="preserve"> ao colocar as normas da Lei nº 8.213, de 2001</w:t>
      </w:r>
      <w:r w:rsidR="009E5073">
        <w:rPr>
          <w:rFonts w:ascii="Microsoft Tai Le" w:hAnsi="Microsoft Tai Le" w:cs="Microsoft Tai Le"/>
        </w:rPr>
        <w:t xml:space="preserve"> </w:t>
      </w:r>
      <w:r w:rsidRPr="009E5073">
        <w:rPr>
          <w:rFonts w:ascii="Microsoft Tai Le" w:hAnsi="Microsoft Tai Le" w:cs="Microsoft Tai Le"/>
        </w:rPr>
        <w:t xml:space="preserve">no lugar da lacuna legislativa em questão, nada mais foi do que deferir </w:t>
      </w:r>
      <w:r w:rsidRPr="009E5073">
        <w:rPr>
          <w:rFonts w:ascii="Microsoft Tai Le" w:hAnsi="Microsoft Tai Le" w:cs="Microsoft Tai Le"/>
          <w:b/>
          <w:bCs/>
        </w:rPr>
        <w:t xml:space="preserve">aos servidores públicos a garantia de acesso ao mesmo instituto da </w:t>
      </w:r>
      <w:r w:rsidR="009E5073" w:rsidRPr="009E5073">
        <w:rPr>
          <w:rFonts w:ascii="Microsoft Tai Le" w:hAnsi="Microsoft Tai Le" w:cs="Microsoft Tai Le"/>
          <w:b/>
          <w:bCs/>
        </w:rPr>
        <w:t>conversão do tempo especial</w:t>
      </w:r>
      <w:r w:rsidRPr="009E5073">
        <w:rPr>
          <w:rFonts w:ascii="Microsoft Tai Le" w:hAnsi="Microsoft Tai Le" w:cs="Microsoft Tai Le"/>
        </w:rPr>
        <w:t xml:space="preserve"> que protege os trabalhadores do setor privado, vinculados ao Regime Geral de Previdência Social.</w:t>
      </w:r>
    </w:p>
    <w:p w14:paraId="2FACA1A8" w14:textId="77777777" w:rsidR="009E5073" w:rsidRPr="001834DD" w:rsidRDefault="009E5073" w:rsidP="00AB54C2">
      <w:pPr>
        <w:spacing w:line="240" w:lineRule="auto"/>
        <w:ind w:left="1418"/>
        <w:jc w:val="both"/>
        <w:rPr>
          <w:color w:val="385260"/>
        </w:rPr>
      </w:pPr>
      <w:r w:rsidRPr="001834DD">
        <w:rPr>
          <w:color w:val="385260"/>
        </w:rPr>
        <w:t>Art. 57 – (...)</w:t>
      </w:r>
    </w:p>
    <w:p w14:paraId="0CC27A95" w14:textId="77777777" w:rsidR="009E5073" w:rsidRPr="001834DD" w:rsidRDefault="009E5073" w:rsidP="00AB54C2">
      <w:pPr>
        <w:spacing w:line="240" w:lineRule="auto"/>
        <w:ind w:left="1418"/>
        <w:jc w:val="both"/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</w:pPr>
      <w:r w:rsidRPr="001834DD">
        <w:rPr>
          <w:rFonts w:ascii="Calibri Light" w:hAnsi="Calibri Light" w:cs="Microsoft Tai Le"/>
          <w:color w:val="385260"/>
          <w:sz w:val="20"/>
          <w:szCs w:val="20"/>
          <w:shd w:val="clear" w:color="auto" w:fill="FFFFFF"/>
        </w:rPr>
        <w:t>§ 5º O tempo de trabalho exercido sob condições especiais que sejam ou venham a ser consideradas prejudiciais à saúde ou à integridade física será somado, após a respectiva conversão ao tempo de trabalho exercido em atividade comum, segundo critérios estabelecidos pelo Ministério da Previdência e Assistência Social, para efeito de concessão de qualquer benefício.”</w:t>
      </w:r>
    </w:p>
    <w:p w14:paraId="1BE563B9" w14:textId="77777777" w:rsidR="00D449F6" w:rsidRPr="009E5073" w:rsidRDefault="009E5073" w:rsidP="00AB54C2">
      <w:pPr>
        <w:spacing w:after="120" w:line="320" w:lineRule="exact"/>
        <w:ind w:firstLine="708"/>
        <w:jc w:val="both"/>
        <w:rPr>
          <w:rFonts w:ascii="Microsoft Tai Le" w:eastAsia="Bookman Old Style" w:hAnsi="Microsoft Tai Le" w:cs="Microsoft Tai Le"/>
        </w:rPr>
      </w:pPr>
      <w:r w:rsidRPr="009E5073">
        <w:rPr>
          <w:rFonts w:ascii="Microsoft Tai Le" w:eastAsia="Bookman Old Style" w:hAnsi="Microsoft Tai Le" w:cs="Microsoft Tai Le"/>
        </w:rPr>
        <w:t>Assim,</w:t>
      </w:r>
      <w:r w:rsidR="00D449F6" w:rsidRPr="009E5073">
        <w:rPr>
          <w:rFonts w:ascii="Microsoft Tai Le" w:eastAsia="Bookman Old Style" w:hAnsi="Microsoft Tai Le" w:cs="Microsoft Tai Le"/>
        </w:rPr>
        <w:t xml:space="preserve"> os(as) servidores(as) que exerceram atividades sujeitas à ação de agentes nocivos à saúde e/ou à integridade física, no período entre 12 de dezembro de 1990 e 11 de novembro de 2019, te</w:t>
      </w:r>
      <w:r w:rsidR="00975D1E">
        <w:rPr>
          <w:rFonts w:ascii="Microsoft Tai Le" w:eastAsia="Bookman Old Style" w:hAnsi="Microsoft Tai Le" w:cs="Microsoft Tai Le"/>
        </w:rPr>
        <w:t>m</w:t>
      </w:r>
      <w:r w:rsidR="00D449F6" w:rsidRPr="009E5073">
        <w:rPr>
          <w:rFonts w:ascii="Microsoft Tai Le" w:eastAsia="Bookman Old Style" w:hAnsi="Microsoft Tai Le" w:cs="Microsoft Tai Le"/>
        </w:rPr>
        <w:t xml:space="preserve"> assegurada a contagem especial dos períodos prestados nestas condições, mediante o acréscimo de 20% (vinte por cento) do período, para as mulheres, e de 40% (quarenta por cento), para os homens, sendo estes acréscimos somados, ao final, aos seus tempos normais de serviço, com vistas à concessão de abono de permanência e de aposentadoria.</w:t>
      </w:r>
      <w:r w:rsidR="001619A8">
        <w:rPr>
          <w:rFonts w:ascii="Microsoft Tai Le" w:eastAsia="Bookman Old Style" w:hAnsi="Microsoft Tai Le" w:cs="Microsoft Tai Le"/>
        </w:rPr>
        <w:t xml:space="preserve"> </w:t>
      </w:r>
    </w:p>
    <w:p w14:paraId="4A2F6F85" w14:textId="77777777" w:rsidR="00555C64" w:rsidRDefault="00F549A9" w:rsidP="00AB54C2">
      <w:pPr>
        <w:spacing w:after="120" w:line="320" w:lineRule="exact"/>
        <w:ind w:firstLine="708"/>
        <w:jc w:val="both"/>
        <w:rPr>
          <w:rFonts w:ascii="Microsoft Tai Le" w:eastAsia="Bookman Old Style" w:hAnsi="Microsoft Tai Le" w:cs="Microsoft Tai Le"/>
        </w:rPr>
      </w:pPr>
      <w:r w:rsidRPr="009E5073">
        <w:rPr>
          <w:rFonts w:ascii="Microsoft Tai Le" w:eastAsia="Bookman Old Style" w:hAnsi="Microsoft Tai Le" w:cs="Microsoft Tai Le"/>
          <w:b/>
          <w:bCs/>
        </w:rPr>
        <w:t>DIANTE DO EXPOSTO</w:t>
      </w:r>
      <w:r w:rsidRPr="009E5073">
        <w:rPr>
          <w:rFonts w:ascii="Microsoft Tai Le" w:eastAsia="Bookman Old Style" w:hAnsi="Microsoft Tai Le" w:cs="Microsoft Tai Le"/>
        </w:rPr>
        <w:t xml:space="preserve">, </w:t>
      </w:r>
      <w:r w:rsidR="002F093F" w:rsidRPr="009E5073">
        <w:rPr>
          <w:rFonts w:ascii="Microsoft Tai Le" w:eastAsia="Bookman Old Style" w:hAnsi="Microsoft Tai Le" w:cs="Microsoft Tai Le"/>
        </w:rPr>
        <w:t>requer</w:t>
      </w:r>
      <w:r w:rsidR="00555C64">
        <w:rPr>
          <w:rFonts w:ascii="Microsoft Tai Le" w:eastAsia="Bookman Old Style" w:hAnsi="Microsoft Tai Le" w:cs="Microsoft Tai Le"/>
        </w:rPr>
        <w:t>:</w:t>
      </w:r>
    </w:p>
    <w:p w14:paraId="18D62DD1" w14:textId="77777777" w:rsidR="00555C64" w:rsidRPr="00555C64" w:rsidRDefault="00555C64" w:rsidP="0044225D">
      <w:pPr>
        <w:pStyle w:val="PargrafodaLista"/>
        <w:numPr>
          <w:ilvl w:val="0"/>
          <w:numId w:val="7"/>
        </w:numPr>
        <w:spacing w:after="120" w:line="320" w:lineRule="exact"/>
        <w:jc w:val="both"/>
        <w:rPr>
          <w:rFonts w:ascii="Microsoft Tai Le" w:eastAsia="Bookman Old Style" w:hAnsi="Microsoft Tai Le" w:cs="Microsoft Tai Le"/>
          <w:specVanish/>
        </w:rPr>
      </w:pPr>
      <w:r w:rsidRPr="00555C64">
        <w:rPr>
          <w:rFonts w:ascii="Microsoft Tai Le" w:eastAsia="Bookman Old Style" w:hAnsi="Microsoft Tai Le" w:cs="Microsoft Tai Le"/>
        </w:rPr>
        <w:t xml:space="preserve">Se digne Vossa Senhoria </w:t>
      </w:r>
      <w:r>
        <w:rPr>
          <w:rFonts w:ascii="Microsoft Tai Le" w:eastAsia="Bookman Old Style" w:hAnsi="Microsoft Tai Le" w:cs="Microsoft Tai Le"/>
        </w:rPr>
        <w:t>a</w:t>
      </w:r>
      <w:r w:rsidRPr="00555C64">
        <w:rPr>
          <w:rFonts w:ascii="Microsoft Tai Le" w:eastAsia="Bookman Old Style" w:hAnsi="Microsoft Tai Le" w:cs="Microsoft Tai Le"/>
        </w:rPr>
        <w:t xml:space="preserve"> providenciar a emissão do Perfil Profissiográfico Previdenciário (PPP) do(a) ora requerente, relativo aos períodos em que atuou sujeito à ação de agentes nocivos à saúde, bem assim de fornecer fotocópia do Laudo Técnico de Condições Ambientais de Trabalho (LTCAT) atualizado, a partir do qual foram extraídas as informações constantes do PPP; e, </w:t>
      </w:r>
    </w:p>
    <w:p w14:paraId="6BA85F00" w14:textId="77777777" w:rsidR="00555C64" w:rsidRPr="00555C64" w:rsidRDefault="00555C64" w:rsidP="00555C64">
      <w:pPr>
        <w:pStyle w:val="PargrafodaLista"/>
        <w:numPr>
          <w:ilvl w:val="0"/>
          <w:numId w:val="7"/>
        </w:numPr>
        <w:spacing w:after="120" w:line="320" w:lineRule="exact"/>
        <w:jc w:val="both"/>
        <w:rPr>
          <w:rFonts w:ascii="Microsoft Tai Le" w:eastAsia="Bookman Old Style" w:hAnsi="Microsoft Tai Le" w:cs="Microsoft Tai Le"/>
        </w:rPr>
      </w:pPr>
      <w:r w:rsidRPr="00555C64">
        <w:rPr>
          <w:rFonts w:ascii="Microsoft Tai Le" w:eastAsia="Bookman Old Style" w:hAnsi="Microsoft Tai Le" w:cs="Microsoft Tai Le"/>
        </w:rPr>
        <w:t xml:space="preserve">De posse do PPP mencionado acima, se digne Vossa Senhoria de proceder à </w:t>
      </w:r>
      <w:r>
        <w:rPr>
          <w:rFonts w:ascii="Microsoft Tai Le" w:eastAsia="Bookman Old Style" w:hAnsi="Microsoft Tai Le" w:cs="Microsoft Tai Le"/>
        </w:rPr>
        <w:t xml:space="preserve">contagem e </w:t>
      </w:r>
      <w:r w:rsidRPr="00555C64">
        <w:rPr>
          <w:rFonts w:ascii="Microsoft Tai Le" w:eastAsia="Bookman Old Style" w:hAnsi="Microsoft Tai Le" w:cs="Microsoft Tai Le"/>
        </w:rPr>
        <w:t>averbação dos respectivos períodos em que o(a) Requerente atuou sujeito(a) à ação de agentes nocivos à saúde, a partir de 11.12.1990, com o devido acréscimo legal</w:t>
      </w:r>
      <w:r>
        <w:rPr>
          <w:rFonts w:ascii="Microsoft Tai Le" w:eastAsia="Bookman Old Style" w:hAnsi="Microsoft Tai Le" w:cs="Microsoft Tai Le"/>
        </w:rPr>
        <w:t xml:space="preserve"> (</w:t>
      </w:r>
      <w:r w:rsidRPr="00555C64">
        <w:rPr>
          <w:rFonts w:ascii="Microsoft Tai Le" w:eastAsia="Bookman Old Style" w:hAnsi="Microsoft Tai Le" w:cs="Microsoft Tai Le"/>
        </w:rPr>
        <w:t>pelo fator multiplicador 1,4, (homem) ou 1,2 (mulher)</w:t>
      </w:r>
      <w:r>
        <w:rPr>
          <w:rStyle w:val="Refdenotaderodap"/>
          <w:rFonts w:ascii="Microsoft Tai Le" w:eastAsia="Bookman Old Style" w:hAnsi="Microsoft Tai Le" w:cs="Microsoft Tai Le"/>
        </w:rPr>
        <w:footnoteReference w:id="1"/>
      </w:r>
      <w:r>
        <w:rPr>
          <w:rFonts w:ascii="Microsoft Tai Le" w:eastAsia="Bookman Old Style" w:hAnsi="Microsoft Tai Le" w:cs="Microsoft Tai Le"/>
        </w:rPr>
        <w:t>)</w:t>
      </w:r>
      <w:r w:rsidRPr="00555C64">
        <w:rPr>
          <w:rFonts w:ascii="Microsoft Tai Le" w:eastAsia="Bookman Old Style" w:hAnsi="Microsoft Tai Le" w:cs="Microsoft Tai Le"/>
        </w:rPr>
        <w:t xml:space="preserve"> desde a data de ingresso no serviço público até 11/11/2019, para fins de aposentadoria e dos direitos decorrentes de tal preenchimento</w:t>
      </w:r>
      <w:r w:rsidR="00364B7E">
        <w:rPr>
          <w:rFonts w:ascii="Microsoft Tai Le" w:eastAsia="Bookman Old Style" w:hAnsi="Microsoft Tai Le" w:cs="Microsoft Tai Le"/>
        </w:rPr>
        <w:t>, notadamente a concessão de abono de permanência e pagamento de atrasados</w:t>
      </w:r>
      <w:r>
        <w:rPr>
          <w:rFonts w:ascii="Microsoft Tai Le" w:eastAsia="Bookman Old Style" w:hAnsi="Microsoft Tai Le" w:cs="Microsoft Tai Le"/>
        </w:rPr>
        <w:t>;</w:t>
      </w:r>
    </w:p>
    <w:p w14:paraId="3551660E" w14:textId="77777777" w:rsidR="00555C64" w:rsidRPr="00555C64" w:rsidRDefault="00555C64" w:rsidP="00555C64">
      <w:pPr>
        <w:pStyle w:val="PargrafodaLista"/>
        <w:numPr>
          <w:ilvl w:val="0"/>
          <w:numId w:val="7"/>
        </w:numPr>
        <w:spacing w:after="120" w:line="320" w:lineRule="exact"/>
        <w:jc w:val="both"/>
        <w:rPr>
          <w:rFonts w:ascii="Microsoft Tai Le" w:eastAsia="Bookman Old Style" w:hAnsi="Microsoft Tai Le" w:cs="Microsoft Tai Le"/>
        </w:rPr>
      </w:pPr>
      <w:r w:rsidRPr="00555C64">
        <w:rPr>
          <w:rFonts w:ascii="Microsoft Tai Le" w:eastAsia="Bookman Old Style" w:hAnsi="Microsoft Tai Le" w:cs="Microsoft Tai Le"/>
        </w:rPr>
        <w:t>na hipótese do(a) ora Requerente já se encontrar na condição de aposentado(a), requer seja revisto o respectivo ato de aposentadoria, para que dele passe a constar o acréscimo de tempo de serviço/contribuição decorrente dos direitos de que tratam as letras “a” e “b” anteriores, com reflexos no pagamento dos proventos correspondentes e o pagamento de parcelas vencidas nos últimos 5 (cinco) anos;</w:t>
      </w:r>
    </w:p>
    <w:p w14:paraId="0EC50606" w14:textId="77777777" w:rsidR="00555C64" w:rsidRPr="00555C64" w:rsidRDefault="00555C64" w:rsidP="00555C64">
      <w:pPr>
        <w:pStyle w:val="PargrafodaLista"/>
        <w:numPr>
          <w:ilvl w:val="0"/>
          <w:numId w:val="7"/>
        </w:numPr>
        <w:spacing w:after="120" w:line="320" w:lineRule="exact"/>
        <w:jc w:val="both"/>
        <w:rPr>
          <w:rFonts w:ascii="Microsoft Tai Le" w:eastAsia="Bookman Old Style" w:hAnsi="Microsoft Tai Le" w:cs="Microsoft Tai Le"/>
        </w:rPr>
      </w:pPr>
      <w:r w:rsidRPr="00555C64">
        <w:rPr>
          <w:rFonts w:ascii="Microsoft Tai Le" w:eastAsia="Bookman Old Style" w:hAnsi="Microsoft Tai Le" w:cs="Microsoft Tai Le"/>
        </w:rPr>
        <w:t>Por fim, na remota hipótese de não serem providos os requerimentos constantes das letras “a” e “b” anteriores, requer se digne Vossa Senhoria de fornecer ao(à) Requerente fotocópia dos laudos de insalubridade ou periculosidade a partir dos quais a administração lhe pagou, a partir de dezembro de 1990, o adicional correspondente, fornecendo, também fotocópia da ficha-financeira relativa ao período de dezembro de 1990 até hoje, ou até a data da aposentadoria, caso o(a) Requerente já haja logrado a aposentação.</w:t>
      </w:r>
    </w:p>
    <w:p w14:paraId="3784CCFA" w14:textId="77777777" w:rsidR="00555C64" w:rsidRPr="00555C64" w:rsidRDefault="00555C64" w:rsidP="00555C64">
      <w:pPr>
        <w:pStyle w:val="PargrafodaLista"/>
        <w:spacing w:after="120" w:line="320" w:lineRule="exact"/>
        <w:ind w:left="1485"/>
        <w:jc w:val="both"/>
        <w:rPr>
          <w:rFonts w:ascii="Microsoft Tai Le" w:eastAsia="Bookman Old Style" w:hAnsi="Microsoft Tai Le" w:cs="Microsoft Tai Le"/>
        </w:rPr>
      </w:pPr>
    </w:p>
    <w:p w14:paraId="7CB86084" w14:textId="77777777" w:rsidR="00D2331D" w:rsidRPr="009E5073" w:rsidRDefault="00D2331D" w:rsidP="00AB54C2">
      <w:pPr>
        <w:pStyle w:val="Corpodetexto2"/>
        <w:spacing w:after="120" w:line="320" w:lineRule="exact"/>
        <w:rPr>
          <w:rFonts w:ascii="Microsoft Tai Le" w:hAnsi="Microsoft Tai Le" w:cs="Microsoft Tai Le"/>
          <w:szCs w:val="22"/>
        </w:rPr>
      </w:pPr>
      <w:r w:rsidRPr="009E5073">
        <w:rPr>
          <w:rFonts w:ascii="Microsoft Tai Le" w:hAnsi="Microsoft Tai Le" w:cs="Microsoft Tai Le"/>
          <w:szCs w:val="22"/>
        </w:rPr>
        <w:tab/>
      </w:r>
      <w:r w:rsidRPr="009E5073">
        <w:rPr>
          <w:rFonts w:ascii="Microsoft Tai Le" w:eastAsia="Bookman Old Style" w:hAnsi="Microsoft Tai Le" w:cs="Microsoft Tai Le"/>
          <w:szCs w:val="22"/>
        </w:rPr>
        <w:t>Nestes termos, pede deferimento.</w:t>
      </w:r>
      <w:r w:rsidRPr="009E5073">
        <w:rPr>
          <w:rFonts w:ascii="Microsoft Tai Le" w:hAnsi="Microsoft Tai Le" w:cs="Microsoft Tai Le"/>
          <w:szCs w:val="22"/>
        </w:rPr>
        <w:t xml:space="preserve"> </w:t>
      </w:r>
    </w:p>
    <w:p w14:paraId="485BB604" w14:textId="37062E3A" w:rsidR="00D2331D" w:rsidRPr="009E5073" w:rsidRDefault="00D2331D" w:rsidP="00AB54C2">
      <w:pPr>
        <w:spacing w:after="120" w:line="320" w:lineRule="exact"/>
        <w:ind w:firstLine="1680"/>
        <w:rPr>
          <w:rFonts w:ascii="Microsoft Tai Le" w:hAnsi="Microsoft Tai Le" w:cs="Microsoft Tai Le"/>
        </w:rPr>
      </w:pPr>
      <w:r w:rsidRPr="009E5073">
        <w:rPr>
          <w:rFonts w:ascii="Microsoft Tai Le" w:hAnsi="Microsoft Tai Le" w:cs="Microsoft Tai Le"/>
        </w:rPr>
        <w:t xml:space="preserve">.................................., ....... de .................................... de </w:t>
      </w:r>
      <w:r w:rsidR="00425E37" w:rsidRPr="009E5073">
        <w:rPr>
          <w:rFonts w:ascii="Microsoft Tai Le" w:hAnsi="Microsoft Tai Le" w:cs="Microsoft Tai Le"/>
        </w:rPr>
        <w:t>20</w:t>
      </w:r>
      <w:r w:rsidR="00B6253F" w:rsidRPr="009E5073">
        <w:rPr>
          <w:rFonts w:ascii="Microsoft Tai Le" w:hAnsi="Microsoft Tai Le" w:cs="Microsoft Tai Le"/>
        </w:rPr>
        <w:t>2</w:t>
      </w:r>
      <w:r w:rsidR="00FC6681">
        <w:rPr>
          <w:rFonts w:ascii="Microsoft Tai Le" w:hAnsi="Microsoft Tai Le" w:cs="Microsoft Tai Le"/>
        </w:rPr>
        <w:t>1</w:t>
      </w:r>
    </w:p>
    <w:p w14:paraId="0162A048" w14:textId="77777777" w:rsidR="00D2331D" w:rsidRPr="009E5073" w:rsidRDefault="00D2331D" w:rsidP="00AB54C2">
      <w:pPr>
        <w:spacing w:after="120" w:line="320" w:lineRule="exact"/>
        <w:ind w:firstLine="1680"/>
        <w:rPr>
          <w:rFonts w:ascii="Microsoft Tai Le" w:hAnsi="Microsoft Tai Le" w:cs="Microsoft Tai Le"/>
        </w:rPr>
      </w:pPr>
    </w:p>
    <w:p w14:paraId="3FABA20E" w14:textId="77777777" w:rsidR="00D2331D" w:rsidRPr="009E5073" w:rsidRDefault="00E60847" w:rsidP="00AB54C2">
      <w:pPr>
        <w:spacing w:after="120" w:line="320" w:lineRule="exact"/>
        <w:ind w:firstLine="708"/>
        <w:jc w:val="center"/>
        <w:rPr>
          <w:rFonts w:ascii="Microsoft Tai Le" w:eastAsia="Bookman Old Style" w:hAnsi="Microsoft Tai Le" w:cs="Microsoft Tai Le"/>
        </w:rPr>
      </w:pPr>
      <w:r>
        <w:rPr>
          <w:rFonts w:ascii="Microsoft Tai Le" w:eastAsia="Bookman Old Style" w:hAnsi="Microsoft Tai Le" w:cs="Microsoft Tai Le"/>
        </w:rPr>
        <w:t>__________________________</w:t>
      </w:r>
      <w:r w:rsidR="00D2331D" w:rsidRPr="009E5073">
        <w:rPr>
          <w:rFonts w:ascii="Microsoft Tai Le" w:eastAsia="Bookman Old Style" w:hAnsi="Microsoft Tai Le" w:cs="Microsoft Tai Le"/>
        </w:rPr>
        <w:t>__________________________________________________</w:t>
      </w:r>
    </w:p>
    <w:p w14:paraId="3674B9E5" w14:textId="77777777" w:rsidR="00BA38F5" w:rsidRPr="009E5073" w:rsidRDefault="009A0AC3" w:rsidP="00AB54C2">
      <w:pPr>
        <w:spacing w:after="120" w:line="320" w:lineRule="exact"/>
        <w:ind w:firstLine="708"/>
        <w:jc w:val="center"/>
        <w:rPr>
          <w:rFonts w:ascii="Microsoft Tai Le" w:eastAsia="Bookman Old Style" w:hAnsi="Microsoft Tai Le" w:cs="Microsoft Tai Le"/>
        </w:rPr>
      </w:pPr>
      <w:r w:rsidRPr="009E5073">
        <w:rPr>
          <w:rFonts w:ascii="Microsoft Tai Le" w:eastAsia="Bookman Old Style" w:hAnsi="Microsoft Tai Le" w:cs="Microsoft Tai Le"/>
        </w:rPr>
        <w:t xml:space="preserve"> </w:t>
      </w:r>
      <w:r w:rsidR="00BA38F5" w:rsidRPr="009E5073">
        <w:rPr>
          <w:rFonts w:ascii="Microsoft Tai Le" w:eastAsia="Bookman Old Style" w:hAnsi="Microsoft Tai Le" w:cs="Microsoft Tai Le"/>
        </w:rPr>
        <w:t>(Sob a orientação jurídica do escritório Bordas Advogados Associados)</w:t>
      </w:r>
    </w:p>
    <w:sectPr w:rsidR="00BA38F5" w:rsidRPr="009E5073" w:rsidSect="0032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8FAA" w14:textId="77777777" w:rsidR="00EC3AD6" w:rsidRDefault="00EC3AD6" w:rsidP="00DD5866">
      <w:pPr>
        <w:spacing w:after="0" w:line="240" w:lineRule="auto"/>
      </w:pPr>
      <w:r>
        <w:separator/>
      </w:r>
    </w:p>
  </w:endnote>
  <w:endnote w:type="continuationSeparator" w:id="0">
    <w:p w14:paraId="2F3EA998" w14:textId="77777777" w:rsidR="00EC3AD6" w:rsidRDefault="00EC3AD6" w:rsidP="00DD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5A0C" w14:textId="77777777" w:rsidR="00EC3AD6" w:rsidRDefault="00EC3AD6" w:rsidP="00DD5866">
      <w:pPr>
        <w:spacing w:after="0" w:line="240" w:lineRule="auto"/>
      </w:pPr>
      <w:r>
        <w:separator/>
      </w:r>
    </w:p>
  </w:footnote>
  <w:footnote w:type="continuationSeparator" w:id="0">
    <w:p w14:paraId="135A09CF" w14:textId="77777777" w:rsidR="00EC3AD6" w:rsidRDefault="00EC3AD6" w:rsidP="00DD5866">
      <w:pPr>
        <w:spacing w:after="0" w:line="240" w:lineRule="auto"/>
      </w:pPr>
      <w:r>
        <w:continuationSeparator/>
      </w:r>
    </w:p>
  </w:footnote>
  <w:footnote w:id="1">
    <w:p w14:paraId="2D47F461" w14:textId="77777777" w:rsidR="00555C64" w:rsidRDefault="00555C64" w:rsidP="00555C6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No sentido de efetivar o direito dos servidores públicos federais, prestigiando o princípio da eficiência, é plenamente viável aplicar a INSTRUÇÃO NORMATIVA Nº 77 /PRES/INSS, DE 21 DE JANEIRO DE 2015, bem como as Orientações Normativas n. 15 e n. 16, DE 23 DE DEZEMBRO DE 2013, do Ministério do Planejamento Orçamento e Gestão.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4136C"/>
    <w:multiLevelType w:val="hybridMultilevel"/>
    <w:tmpl w:val="981E4500"/>
    <w:lvl w:ilvl="0" w:tplc="0416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 w15:restartNumberingAfterBreak="0">
    <w:nsid w:val="1DC54B10"/>
    <w:multiLevelType w:val="hybridMultilevel"/>
    <w:tmpl w:val="25D239C8"/>
    <w:lvl w:ilvl="0" w:tplc="F6FCCC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642D57"/>
    <w:multiLevelType w:val="hybridMultilevel"/>
    <w:tmpl w:val="CD4C59E8"/>
    <w:lvl w:ilvl="0" w:tplc="984AB332">
      <w:start w:val="1"/>
      <w:numFmt w:val="decimal"/>
      <w:lvlText w:val="%1."/>
      <w:lvlJc w:val="left"/>
      <w:pPr>
        <w:tabs>
          <w:tab w:val="num" w:pos="2380"/>
        </w:tabs>
        <w:ind w:left="2380" w:hanging="124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32AF1CD6"/>
    <w:multiLevelType w:val="hybridMultilevel"/>
    <w:tmpl w:val="4DD202A0"/>
    <w:lvl w:ilvl="0" w:tplc="0416000F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80E08B9"/>
    <w:multiLevelType w:val="hybridMultilevel"/>
    <w:tmpl w:val="9C947658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34A01D4"/>
    <w:multiLevelType w:val="hybridMultilevel"/>
    <w:tmpl w:val="22BE30B6"/>
    <w:lvl w:ilvl="0" w:tplc="20FCD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11232B2"/>
    <w:multiLevelType w:val="hybridMultilevel"/>
    <w:tmpl w:val="0680C4D8"/>
    <w:lvl w:ilvl="0" w:tplc="D37CF22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F70759"/>
    <w:multiLevelType w:val="hybridMultilevel"/>
    <w:tmpl w:val="18B062E2"/>
    <w:lvl w:ilvl="0" w:tplc="81704462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1B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E7"/>
    <w:rsid w:val="0003143A"/>
    <w:rsid w:val="00041249"/>
    <w:rsid w:val="000516C9"/>
    <w:rsid w:val="00055C54"/>
    <w:rsid w:val="00074448"/>
    <w:rsid w:val="00084DBE"/>
    <w:rsid w:val="00094D2E"/>
    <w:rsid w:val="00105546"/>
    <w:rsid w:val="00147BDA"/>
    <w:rsid w:val="001619A8"/>
    <w:rsid w:val="0016254E"/>
    <w:rsid w:val="00165CF7"/>
    <w:rsid w:val="00180F3D"/>
    <w:rsid w:val="00183244"/>
    <w:rsid w:val="001834DD"/>
    <w:rsid w:val="00187DCB"/>
    <w:rsid w:val="001B7E5A"/>
    <w:rsid w:val="001C26AB"/>
    <w:rsid w:val="001C32EA"/>
    <w:rsid w:val="00210924"/>
    <w:rsid w:val="002340B0"/>
    <w:rsid w:val="002511C0"/>
    <w:rsid w:val="00255CF6"/>
    <w:rsid w:val="00280D2F"/>
    <w:rsid w:val="00294EFC"/>
    <w:rsid w:val="002B2216"/>
    <w:rsid w:val="002D15E7"/>
    <w:rsid w:val="002E59B6"/>
    <w:rsid w:val="002F093F"/>
    <w:rsid w:val="00322EA3"/>
    <w:rsid w:val="00333368"/>
    <w:rsid w:val="0034104D"/>
    <w:rsid w:val="00363878"/>
    <w:rsid w:val="00364B7E"/>
    <w:rsid w:val="00371EDB"/>
    <w:rsid w:val="003C1091"/>
    <w:rsid w:val="003F3110"/>
    <w:rsid w:val="003F7E76"/>
    <w:rsid w:val="0041731B"/>
    <w:rsid w:val="00425E37"/>
    <w:rsid w:val="00454A62"/>
    <w:rsid w:val="00456A12"/>
    <w:rsid w:val="004D45EC"/>
    <w:rsid w:val="004D535A"/>
    <w:rsid w:val="004F5E63"/>
    <w:rsid w:val="0051285F"/>
    <w:rsid w:val="005144A9"/>
    <w:rsid w:val="00555C64"/>
    <w:rsid w:val="00562334"/>
    <w:rsid w:val="005715BE"/>
    <w:rsid w:val="005B4F01"/>
    <w:rsid w:val="005C100C"/>
    <w:rsid w:val="005D7D3A"/>
    <w:rsid w:val="005E182D"/>
    <w:rsid w:val="006001CC"/>
    <w:rsid w:val="0061028F"/>
    <w:rsid w:val="00637784"/>
    <w:rsid w:val="006505C8"/>
    <w:rsid w:val="00655913"/>
    <w:rsid w:val="00656DEC"/>
    <w:rsid w:val="00660C86"/>
    <w:rsid w:val="0067277A"/>
    <w:rsid w:val="006A0EC5"/>
    <w:rsid w:val="00710A19"/>
    <w:rsid w:val="00736902"/>
    <w:rsid w:val="007C61D0"/>
    <w:rsid w:val="007C708A"/>
    <w:rsid w:val="007E1FE3"/>
    <w:rsid w:val="007E7504"/>
    <w:rsid w:val="00813E29"/>
    <w:rsid w:val="0083432A"/>
    <w:rsid w:val="00855341"/>
    <w:rsid w:val="008A4AB6"/>
    <w:rsid w:val="009562B8"/>
    <w:rsid w:val="00975D1E"/>
    <w:rsid w:val="00985F72"/>
    <w:rsid w:val="009A0AC3"/>
    <w:rsid w:val="009B7DA4"/>
    <w:rsid w:val="009C6567"/>
    <w:rsid w:val="009D58B0"/>
    <w:rsid w:val="009E5073"/>
    <w:rsid w:val="009F298B"/>
    <w:rsid w:val="00A02BF3"/>
    <w:rsid w:val="00A049C4"/>
    <w:rsid w:val="00A25849"/>
    <w:rsid w:val="00A5235F"/>
    <w:rsid w:val="00A87926"/>
    <w:rsid w:val="00AA31FA"/>
    <w:rsid w:val="00AB54C2"/>
    <w:rsid w:val="00AE4A2D"/>
    <w:rsid w:val="00B00F2B"/>
    <w:rsid w:val="00B129AE"/>
    <w:rsid w:val="00B1383F"/>
    <w:rsid w:val="00B476DA"/>
    <w:rsid w:val="00B6207C"/>
    <w:rsid w:val="00B6253F"/>
    <w:rsid w:val="00B939A1"/>
    <w:rsid w:val="00BA38F5"/>
    <w:rsid w:val="00BB6EBE"/>
    <w:rsid w:val="00C53921"/>
    <w:rsid w:val="00C95461"/>
    <w:rsid w:val="00CC0370"/>
    <w:rsid w:val="00D04C30"/>
    <w:rsid w:val="00D123F6"/>
    <w:rsid w:val="00D1279D"/>
    <w:rsid w:val="00D2331D"/>
    <w:rsid w:val="00D31D41"/>
    <w:rsid w:val="00D3590F"/>
    <w:rsid w:val="00D403C8"/>
    <w:rsid w:val="00D41CE2"/>
    <w:rsid w:val="00D432A5"/>
    <w:rsid w:val="00D449F6"/>
    <w:rsid w:val="00DD5866"/>
    <w:rsid w:val="00E01CA8"/>
    <w:rsid w:val="00E51A60"/>
    <w:rsid w:val="00E60847"/>
    <w:rsid w:val="00E70164"/>
    <w:rsid w:val="00E922AA"/>
    <w:rsid w:val="00EB260C"/>
    <w:rsid w:val="00EB4FDF"/>
    <w:rsid w:val="00EC216E"/>
    <w:rsid w:val="00EC3AD6"/>
    <w:rsid w:val="00F549A9"/>
    <w:rsid w:val="00F82F68"/>
    <w:rsid w:val="00FC33C0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2DA4"/>
  <w15:docId w15:val="{C3593CB1-3153-4868-9D9F-64A1130C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D2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1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100C"/>
    <w:pPr>
      <w:ind w:left="720"/>
      <w:contextualSpacing/>
    </w:pPr>
  </w:style>
  <w:style w:type="table" w:styleId="SombreamentoMdio1-nfase3">
    <w:name w:val="Medium Shading 1 Accent 3"/>
    <w:basedOn w:val="Tabelanormal"/>
    <w:uiPriority w:val="63"/>
    <w:rsid w:val="00147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texto2">
    <w:name w:val="Body Text 2"/>
    <w:basedOn w:val="Normal"/>
    <w:link w:val="Corpodetexto2Char"/>
    <w:rsid w:val="00D2331D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D2331D"/>
    <w:rPr>
      <w:rFonts w:ascii="Arial" w:eastAsia="Times New Roman" w:hAnsi="Arial" w:cs="Times New Roman"/>
      <w:szCs w:val="20"/>
    </w:rPr>
  </w:style>
  <w:style w:type="paragraph" w:customStyle="1" w:styleId="CITAO">
    <w:name w:val="CITAÇÃO"/>
    <w:basedOn w:val="Normal"/>
    <w:rsid w:val="00A02BF3"/>
    <w:pPr>
      <w:spacing w:after="0" w:line="240" w:lineRule="auto"/>
      <w:ind w:left="2126"/>
      <w:jc w:val="both"/>
    </w:pPr>
    <w:rPr>
      <w:rFonts w:ascii="Arial" w:eastAsia="Times New Roman" w:hAnsi="Arial" w:cs="Arial"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6A12"/>
    <w:pPr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9A0AC3"/>
    <w:pPr>
      <w:spacing w:before="120" w:after="360" w:line="240" w:lineRule="auto"/>
      <w:ind w:right="284"/>
      <w:jc w:val="center"/>
    </w:pPr>
    <w:rPr>
      <w:rFonts w:ascii="Bookman Old Style" w:eastAsia="Times New Roman" w:hAnsi="Bookman Old Style" w:cs="Times New Roman"/>
      <w:b/>
      <w:caps/>
      <w:sz w:val="24"/>
      <w:szCs w:val="28"/>
      <w:lang w:val="pt-PT"/>
    </w:rPr>
  </w:style>
  <w:style w:type="character" w:customStyle="1" w:styleId="TtuloChar">
    <w:name w:val="Título Char"/>
    <w:basedOn w:val="Fontepargpadro"/>
    <w:link w:val="Ttulo"/>
    <w:rsid w:val="009A0AC3"/>
    <w:rPr>
      <w:rFonts w:ascii="Bookman Old Style" w:eastAsia="Times New Roman" w:hAnsi="Bookman Old Style" w:cs="Times New Roman"/>
      <w:b/>
      <w:caps/>
      <w:sz w:val="24"/>
      <w:szCs w:val="28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D449F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E507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8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8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5866"/>
    <w:rPr>
      <w:vertAlign w:val="superscript"/>
    </w:rPr>
  </w:style>
  <w:style w:type="paragraph" w:customStyle="1" w:styleId="Default">
    <w:name w:val="Default"/>
    <w:rsid w:val="00084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79FDF-9FC5-4CA4-815E-162062D4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Kolton Rocha</dc:creator>
  <cp:lastModifiedBy>Leticia</cp:lastModifiedBy>
  <cp:revision>3</cp:revision>
  <cp:lastPrinted>2017-12-01T16:53:00Z</cp:lastPrinted>
  <dcterms:created xsi:type="dcterms:W3CDTF">2021-03-31T13:01:00Z</dcterms:created>
  <dcterms:modified xsi:type="dcterms:W3CDTF">2021-03-31T13:06:00Z</dcterms:modified>
</cp:coreProperties>
</file>